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2F8C" w:rsidRPr="00EC2627" w:rsidRDefault="001A0CA1" w:rsidP="001E6ABB">
      <w:pPr>
        <w:spacing w:before="100" w:beforeAutospacing="1" w:after="100" w:afterAutospacing="1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E8EFF" wp14:editId="2AD0BB75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603C4E">
        <w:rPr>
          <w:rFonts w:ascii="Proxima Nova" w:hAnsi="Proxima Nova"/>
          <w:b/>
          <w:color w:val="222A35" w:themeColor="text2" w:themeShade="80"/>
          <w:sz w:val="52"/>
        </w:rPr>
        <w:t>szkół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Pr="002822DA">
        <w:rPr>
          <w:rFonts w:eastAsiaTheme="minorHAnsi"/>
        </w:rPr>
        <w:t>:</w:t>
      </w:r>
    </w:p>
    <w:bookmarkEnd w:id="0"/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</w:t>
      </w:r>
      <w:r w:rsidRPr="00F90690">
        <w:lastRenderedPageBreak/>
        <w:t xml:space="preserve">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lastRenderedPageBreak/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D05567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 xml:space="preserve">ody jordanowskie i pozaszkolne placówki specjalistyczne) korzystają z powyższych </w:t>
      </w:r>
      <w:r w:rsidR="00D11593">
        <w:lastRenderedPageBreak/>
        <w:t>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D05567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256485" w:rsidRPr="00256485" w:rsidRDefault="00D05567" w:rsidP="00603C4E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67" w:rsidRDefault="00D05567" w:rsidP="00143D7D">
      <w:pPr>
        <w:spacing w:after="0" w:line="240" w:lineRule="auto"/>
      </w:pPr>
      <w:r>
        <w:separator/>
      </w:r>
    </w:p>
  </w:endnote>
  <w:endnote w:type="continuationSeparator" w:id="0">
    <w:p w:rsidR="00D05567" w:rsidRDefault="00D0556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67" w:rsidRDefault="00D05567" w:rsidP="00143D7D">
      <w:pPr>
        <w:spacing w:after="0" w:line="240" w:lineRule="auto"/>
      </w:pPr>
      <w:r>
        <w:separator/>
      </w:r>
    </w:p>
  </w:footnote>
  <w:footnote w:type="continuationSeparator" w:id="0">
    <w:p w:rsidR="00D05567" w:rsidRDefault="00D0556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5FB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E6ABB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207F"/>
    <w:rsid w:val="003D5834"/>
    <w:rsid w:val="003E1CDC"/>
    <w:rsid w:val="003E5648"/>
    <w:rsid w:val="003F233B"/>
    <w:rsid w:val="003F26AA"/>
    <w:rsid w:val="003F606C"/>
    <w:rsid w:val="00413CBB"/>
    <w:rsid w:val="00416874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07B28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3C4E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05567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sport/iv-etap---pytania-i-odpowiedz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5D0D-CB4B-4B62-9759-F752FF21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Michał Głowacki</cp:lastModifiedBy>
  <cp:revision>4</cp:revision>
  <cp:lastPrinted>2020-08-05T09:00:00Z</cp:lastPrinted>
  <dcterms:created xsi:type="dcterms:W3CDTF">2020-08-18T06:20:00Z</dcterms:created>
  <dcterms:modified xsi:type="dcterms:W3CDTF">2020-08-18T06:29:00Z</dcterms:modified>
</cp:coreProperties>
</file>